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1.xml" ContentType="application/vnd.openxmlformats-officedocument.wordprocessingml.footer+xml"/>
  <Override PartName="/word/theme/theme111.xml" ContentType="application/vnd.openxmlformats-officedocument.theme+xml"/>
  <Override PartName="/word/webSettings.xml" ContentType="application/vnd.openxmlformats-officedocument.wordprocessingml.webSettings+xml"/>
  <Override PartName="/word/header2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2.xml" ContentType="application/vnd.openxmlformats-officedocument.wordprocessingml.header+xml"/>
  <Override PartName="/word/footer322.xml" ContentType="application/vnd.openxmlformats-officedocument.wordprocessingml.footer+xml"/>
  <Override PartName="/word/endnotes.xml" ContentType="application/vnd.openxmlformats-officedocument.wordprocessingml.endnotes+xml"/>
  <Override PartName="/word/header333.xml" ContentType="application/vnd.openxmlformats-officedocument.wordprocessingml.header+xml"/>
  <Override PartName="/word/footnotes.xml" ContentType="application/vnd.openxmlformats-officedocument.wordprocessingml.footnotes+xml"/>
  <Override PartName="/word/footer233.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st"/>
        <w:shd w:val="clear" w:color="auto" w:fill="DED888"/>
        <w:spacing w:after="160"/>
        <w:jc w:val="center"/>
        <w:rPr>
          <w:rStyle w:val="Strong"/>
          <w:rFonts w:ascii="Times New Roman" w:hAnsi="Times New Roman"/>
          <w:b/>
          <w:bCs w:val="0"/>
          <w:color w:val="4472C4" w:themeColor="accent1"/>
          <w:sz w:val="32"/>
          <w:szCs w:val="32"/>
        </w:rPr>
      </w:pPr>
      <w:r w:rsidRPr="007D173F">
        <w:rPr>
          <w:rStyle w:val="Strong"/>
          <w:rFonts w:ascii="Times New Roman" w:hAnsi="Times New Roman"/>
          <w:b/>
          <w:bCs w:val="0"/>
          <w:color w:val="4472C4" w:themeColor="accent1"/>
          <w:sz w:val="32"/>
          <w:szCs w:val="32"/>
        </w:rPr>
        <w:t xml:space="preserve">Le rejet des enquêtes de l'OEPP - Quiz</w:t>
      </w:r>
    </w:p>
    <w:p w:rsidRPr="007D173F" w:rsidR="002F63D5" w:rsidP="007D173F" w:rsidRDefault="000E4DE3" w14:paraId="2CD5A721" w14:textId="77777777">
      <w:pPr>
        <w:pStyle w:val="Standard"/>
        <w:jc w:val="both"/>
        <w:rPr>
          <w:rFonts w:ascii="Times New Roman" w:hAnsi="Times New Roman" w:cs="Times New Roman"/>
        </w:rPr>
      </w:pPr>
      <w:r w:rsidRPr="007D173F">
        <w:rPr>
          <w:rFonts w:ascii="Times New Roman" w:hAnsi="Times New Roman" w:cs="Times New Roman"/>
        </w:rPr>
        <w:t xml:space="preserve">       </w:t>
      </w: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Q1</w:t>
      </w:r>
      <w:r w:rsidRPr="007D173F">
        <w:rPr>
          <w:rFonts w:ascii="Times New Roman" w:hAnsi="Times New Roman" w:eastAsia="Segoe UI Emoji" w:cs="Times New Roman"/>
          <w:b/>
          <w:bCs/>
          <w:sz w:val="24"/>
          <w:szCs w:val="24"/>
        </w:rPr>
        <w:t xml:space="preserve">.</w:t>
      </w:r>
      <w:r w:rsidRPr="007D173F" w:rsidR="000E4DE3">
        <w:rPr>
          <w:rFonts w:ascii="Times New Roman" w:hAnsi="Times New Roman" w:eastAsia="Segoe UI Emoji" w:cs="Times New Roman"/>
          <w:b/>
          <w:bCs/>
          <w:sz w:val="24"/>
          <w:szCs w:val="24"/>
        </w:rPr>
        <w:t xml:space="preserve"> La clôture de l'enquête :</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est décidée par l'EDP</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est décidée par le PDE en consultation avec le PE</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est décidée par la Chambre permanente sur la base d'un rapport du PDE avec l'évaluation du PE.</w:t>
      </w:r>
    </w:p>
    <w:p w:rsidRPr="007D173F" w:rsidR="002F63D5" w:rsidP="007D173F" w:rsidRDefault="002F63D5" w14:paraId="245DC1AE"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Q2</w:t>
      </w:r>
      <w:r w:rsidRPr="007D173F">
        <w:rPr>
          <w:rFonts w:ascii="Times New Roman" w:hAnsi="Times New Roman" w:eastAsia="Segoe UI Emoji" w:cs="Times New Roman"/>
          <w:b/>
          <w:bCs/>
          <w:sz w:val="24"/>
          <w:szCs w:val="24"/>
        </w:rPr>
        <w:t xml:space="preserve">. </w:t>
      </w:r>
      <w:r w:rsidRPr="007D173F" w:rsidR="000E4DE3">
        <w:rPr>
          <w:rFonts w:ascii="Times New Roman" w:hAnsi="Times New Roman" w:eastAsia="Segoe UI Emoji" w:cs="Times New Roman"/>
          <w:b/>
          <w:bCs/>
          <w:sz w:val="24"/>
          <w:szCs w:val="24"/>
        </w:rPr>
        <w:t xml:space="preserve">La condition générale pour le rejet de l'affaire est que :</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les </w:t>
      </w:r>
      <w:r w:rsidRPr="007D173F">
        <w:rPr>
          <w:rFonts w:ascii="Times New Roman" w:hAnsi="Times New Roman" w:eastAsia="Segoe UI Emoji" w:cs="Times New Roman"/>
          <w:sz w:val="24"/>
          <w:szCs w:val="24"/>
        </w:rPr>
        <w:t xml:space="preserve">poursuites sont devenues impossibles, en vertu de la législation de l'État membre dans lequel se déroule l'EDP</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les </w:t>
      </w:r>
      <w:r w:rsidRPr="007D173F">
        <w:rPr>
          <w:rFonts w:ascii="Times New Roman" w:hAnsi="Times New Roman" w:eastAsia="Segoe UI Emoji" w:cs="Times New Roman"/>
          <w:sz w:val="24"/>
          <w:szCs w:val="24"/>
        </w:rPr>
        <w:t xml:space="preserve">poursuites ont toutes les chances d'échouer.</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la </w:t>
      </w:r>
      <w:r w:rsidRPr="007D173F">
        <w:rPr>
          <w:rFonts w:ascii="Times New Roman" w:hAnsi="Times New Roman" w:eastAsia="Segoe UI Emoji" w:cs="Times New Roman"/>
          <w:sz w:val="24"/>
          <w:szCs w:val="24"/>
        </w:rPr>
        <w:t xml:space="preserve">poursuite est soumise à une autorisation de la Chambre permanente, qui n'est pas accordée.</w:t>
      </w:r>
    </w:p>
    <w:p w:rsidRPr="007D173F" w:rsidR="002F63D5" w:rsidP="007D173F" w:rsidRDefault="002F63D5" w14:paraId="3145B05D"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Q3</w:t>
      </w:r>
      <w:r w:rsidRPr="007D173F">
        <w:rPr>
          <w:rFonts w:ascii="Times New Roman" w:hAnsi="Times New Roman" w:eastAsia="Segoe UI Emoji" w:cs="Times New Roman"/>
          <w:b/>
          <w:bCs/>
          <w:sz w:val="24"/>
          <w:szCs w:val="24"/>
        </w:rPr>
        <w:t xml:space="preserve">.</w:t>
      </w:r>
      <w:r w:rsidRPr="007D173F" w:rsidR="000E4DE3">
        <w:rPr>
          <w:rFonts w:ascii="Times New Roman" w:hAnsi="Times New Roman" w:eastAsia="Segoe UI Emoji" w:cs="Times New Roman"/>
          <w:b/>
          <w:bCs/>
          <w:sz w:val="24"/>
          <w:szCs w:val="24"/>
        </w:rPr>
        <w:t xml:space="preserve"> La liquidation de la personne morale accusée :</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est un </w:t>
      </w:r>
      <w:r w:rsidR="00A34F81">
        <w:rPr>
          <w:rFonts w:ascii="Times New Roman" w:hAnsi="Times New Roman" w:eastAsia="Segoe UI Emoji" w:cs="Times New Roman"/>
          <w:sz w:val="24"/>
          <w:szCs w:val="24"/>
        </w:rPr>
        <w:t xml:space="preserve">motif</w:t>
      </w:r>
      <w:r w:rsidRPr="007D173F">
        <w:rPr>
          <w:rFonts w:ascii="Times New Roman" w:hAnsi="Times New Roman" w:eastAsia="Segoe UI Emoji" w:cs="Times New Roman"/>
          <w:sz w:val="24"/>
          <w:szCs w:val="24"/>
        </w:rPr>
        <w:t xml:space="preserve"> obligatoire </w:t>
      </w:r>
      <w:r w:rsidRPr="007D173F">
        <w:rPr>
          <w:rFonts w:ascii="Times New Roman" w:hAnsi="Times New Roman" w:eastAsia="Segoe UI Emoji" w:cs="Times New Roman"/>
          <w:sz w:val="24"/>
          <w:szCs w:val="24"/>
        </w:rPr>
        <w:t xml:space="preserve">de rejet de l'affaire</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permet la poursuite de l'affaire, alors qu'au moment de la commission de l'infraction, la personne morale était encore active</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permet la poursuite de l'affaire uniquement en ce qui concerne la responsabilité civile</w:t>
      </w:r>
    </w:p>
    <w:p w:rsidRPr="007D173F" w:rsidR="002F63D5" w:rsidP="007D173F" w:rsidRDefault="002F63D5" w14:paraId="36491434"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Q4</w:t>
      </w:r>
      <w:r w:rsidRPr="007D173F">
        <w:rPr>
          <w:rFonts w:ascii="Times New Roman" w:hAnsi="Times New Roman" w:eastAsia="Segoe UI Emoji" w:cs="Times New Roman"/>
          <w:b/>
          <w:bCs/>
          <w:sz w:val="24"/>
          <w:szCs w:val="24"/>
        </w:rPr>
        <w:t xml:space="preserve">. </w:t>
      </w:r>
      <w:r w:rsidRPr="007D173F" w:rsidR="000E4DE3">
        <w:rPr>
          <w:rFonts w:ascii="Times New Roman" w:hAnsi="Times New Roman" w:eastAsia="Segoe UI Emoji" w:cs="Times New Roman"/>
          <w:b/>
          <w:bCs/>
          <w:sz w:val="24"/>
          <w:szCs w:val="24"/>
        </w:rPr>
        <w:t xml:space="preserve">L'immunité accordée au suspect :</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ne compromet pas la poursuite de l'affaire, car l'immunité peut être levée pendant le procès</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est un </w:t>
      </w:r>
      <w:r w:rsidR="00A34F81">
        <w:rPr>
          <w:rFonts w:ascii="Times New Roman" w:hAnsi="Times New Roman" w:eastAsia="Segoe UI Emoji" w:cs="Times New Roman"/>
          <w:sz w:val="24"/>
          <w:szCs w:val="24"/>
        </w:rPr>
        <w:t xml:space="preserve">motif</w:t>
      </w:r>
      <w:r w:rsidRPr="007D173F">
        <w:rPr>
          <w:rFonts w:ascii="Times New Roman" w:hAnsi="Times New Roman" w:eastAsia="Segoe UI Emoji" w:cs="Times New Roman"/>
          <w:sz w:val="24"/>
          <w:szCs w:val="24"/>
        </w:rPr>
        <w:t xml:space="preserve"> obligatoire </w:t>
      </w:r>
      <w:r w:rsidRPr="007D173F">
        <w:rPr>
          <w:rFonts w:ascii="Times New Roman" w:hAnsi="Times New Roman" w:eastAsia="Segoe UI Emoji" w:cs="Times New Roman"/>
          <w:sz w:val="24"/>
          <w:szCs w:val="24"/>
        </w:rPr>
        <w:t xml:space="preserve">de rejet de l'affaire à la fin de la phase préliminaire, sauf s'il a été levé.</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n'a aucune incidence sur la décision de poursuivre ou de classer l'affaire.</w:t>
      </w:r>
    </w:p>
    <w:p w:rsidRPr="007D173F" w:rsidR="002F63D5" w:rsidP="007D173F" w:rsidRDefault="002F63D5" w14:paraId="376EAB8A" w14:textId="77777777">
      <w:pPr>
        <w:pStyle w:val="Standard"/>
        <w:jc w:val="both"/>
        <w:rPr>
          <w:rFonts w:ascii="Times New Roman" w:hAnsi="Times New Roman" w:eastAsia="Segoe UI Emoji" w:cs="Times New Roman"/>
          <w:sz w:val="24"/>
          <w:szCs w:val="24"/>
        </w:rPr>
      </w:pPr>
    </w:p>
    <w:p w:rsidRPr="007D173F" w:rsidR="002F63D5" w:rsidP="007D173F" w:rsidRDefault="002F63D5" w14:paraId="2BB79F08"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Q5</w:t>
      </w:r>
      <w:r w:rsidRPr="007D173F">
        <w:rPr>
          <w:rFonts w:ascii="Times New Roman" w:hAnsi="Times New Roman" w:eastAsia="Segoe UI Emoji" w:cs="Times New Roman"/>
          <w:b/>
          <w:bCs/>
          <w:sz w:val="24"/>
          <w:szCs w:val="24"/>
        </w:rPr>
        <w:t xml:space="preserve">. </w:t>
      </w:r>
      <w:r w:rsidRPr="007D173F" w:rsidR="000E4DE3">
        <w:rPr>
          <w:rFonts w:ascii="Times New Roman" w:hAnsi="Times New Roman" w:eastAsia="Segoe UI Emoji" w:cs="Times New Roman"/>
          <w:b/>
          <w:bCs/>
          <w:sz w:val="24"/>
          <w:szCs w:val="24"/>
        </w:rPr>
        <w:t xml:space="preserve">L'expiration de la prescription légale nationale </w:t>
      </w:r>
      <w:r>
        <w:rPr>
          <w:rFonts w:ascii="Times New Roman" w:hAnsi="Times New Roman" w:eastAsia="Segoe UI Emoji" w:cs="Times New Roman"/>
          <w:b/>
          <w:bCs/>
          <w:sz w:val="24"/>
          <w:szCs w:val="24"/>
        </w:rPr>
        <w:t xml:space="preserve">:</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est fixé dans le règlement de l'OEPP</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est fixé dans la directive PFI</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est fixé dans le droit national de l'EDP de traitement.</w:t>
      </w:r>
    </w:p>
    <w:p w:rsidRPr="007D173F" w:rsidR="002F63D5" w:rsidP="007D173F" w:rsidRDefault="002F63D5" w14:paraId="70E6B170"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Q6</w:t>
      </w:r>
      <w:r w:rsidRPr="007D173F">
        <w:rPr>
          <w:rFonts w:ascii="Times New Roman" w:hAnsi="Times New Roman" w:eastAsia="Segoe UI Emoji" w:cs="Times New Roman"/>
          <w:b/>
          <w:bCs/>
          <w:sz w:val="24"/>
          <w:szCs w:val="24"/>
        </w:rPr>
        <w:t xml:space="preserve">. </w:t>
      </w:r>
      <w:r w:rsidRPr="007D173F" w:rsidR="000E4DE3">
        <w:rPr>
          <w:rFonts w:ascii="Times New Roman" w:hAnsi="Times New Roman" w:eastAsia="Segoe UI Emoji" w:cs="Times New Roman"/>
          <w:b/>
          <w:bCs/>
          <w:sz w:val="24"/>
          <w:szCs w:val="24"/>
        </w:rPr>
        <w:t xml:space="preserve">La décision de rejeter l'affaire :</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empêche toute réouverture de l'affaire, conformément au principe "ne bis in idem".</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permet la réouverture de l'affaire sur la base de faits nouveaux qui n'étaient pas connus au moment du licenciement.</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permet la réouverture de l'affaire à tout moment et sur n'importe quel fondement.</w:t>
      </w:r>
    </w:p>
    <w:p w:rsidRPr="007D173F" w:rsidR="002F63D5" w:rsidP="007D173F" w:rsidRDefault="002F63D5" w14:paraId="09569799"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Q7</w:t>
      </w:r>
      <w:r w:rsidRPr="007D173F">
        <w:rPr>
          <w:rFonts w:ascii="Times New Roman" w:hAnsi="Times New Roman" w:eastAsia="Segoe UI Emoji" w:cs="Times New Roman"/>
          <w:b/>
          <w:bCs/>
          <w:sz w:val="24"/>
          <w:szCs w:val="24"/>
        </w:rPr>
        <w:t xml:space="preserve">. </w:t>
      </w:r>
      <w:r w:rsidRPr="007D173F" w:rsidR="000E4DE3">
        <w:rPr>
          <w:rFonts w:ascii="Times New Roman" w:hAnsi="Times New Roman" w:eastAsia="Segoe UI Emoji" w:cs="Times New Roman"/>
          <w:b/>
          <w:bCs/>
          <w:sz w:val="24"/>
          <w:szCs w:val="24"/>
        </w:rPr>
        <w:t xml:space="preserve">La décision de réouverture du dossier </w:t>
      </w:r>
      <w:r>
        <w:rPr>
          <w:rFonts w:ascii="Times New Roman" w:hAnsi="Times New Roman" w:eastAsia="Segoe UI Emoji" w:cs="Times New Roman"/>
          <w:b/>
          <w:bCs/>
          <w:sz w:val="24"/>
          <w:szCs w:val="24"/>
        </w:rPr>
        <w:t xml:space="preserve">:</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est prise par la Chambre permanente</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est prise par le PE sur proposition de l'EDP</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est prise par le PDE qui doit informer le PE</w:t>
      </w:r>
    </w:p>
    <w:p w:rsidRPr="007D173F" w:rsidR="002F63D5" w:rsidP="007D173F" w:rsidRDefault="002F63D5" w14:paraId="033196FC"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Q8</w:t>
      </w:r>
      <w:r w:rsidRPr="007D173F">
        <w:rPr>
          <w:rFonts w:ascii="Times New Roman" w:hAnsi="Times New Roman" w:eastAsia="Segoe UI Emoji" w:cs="Times New Roman"/>
          <w:b/>
          <w:bCs/>
          <w:sz w:val="24"/>
          <w:szCs w:val="24"/>
        </w:rPr>
        <w:t xml:space="preserve">.</w:t>
      </w:r>
      <w:r w:rsidRPr="007D173F" w:rsidR="000E4DE3">
        <w:rPr>
          <w:rFonts w:ascii="Times New Roman" w:hAnsi="Times New Roman" w:eastAsia="Segoe UI Emoji" w:cs="Times New Roman"/>
          <w:b/>
          <w:bCs/>
          <w:sz w:val="24"/>
          <w:szCs w:val="24"/>
        </w:rPr>
        <w:t xml:space="preserve"> Lorsque le rejet de l'affaire implique également des infractions non OEPP, qui sont traitées par l'OEPP comme étant inextricablement liées aux infractions OEPP, selon l'article 22 para 3 du règlement de l'OEPP :</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l'OEPP rejette également les infractions non OEPP sans obligation spécifique envers les </w:t>
      </w:r>
      <w:r w:rsidRPr="007D173F">
        <w:rPr>
          <w:rFonts w:ascii="Times New Roman" w:hAnsi="Times New Roman" w:eastAsia="Segoe UI Emoji" w:cs="Times New Roman"/>
          <w:sz w:val="24"/>
          <w:szCs w:val="24"/>
        </w:rPr>
        <w:t xml:space="preserve">autorités nationales.</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l'OEPP sépare le cas comme pour les infractions non OEPP et </w:t>
      </w:r>
      <w:r w:rsidR="00A34F81">
        <w:rPr>
          <w:rFonts w:ascii="Times New Roman" w:hAnsi="Times New Roman" w:eastAsia="Segoe UI Emoji" w:cs="Times New Roman"/>
          <w:sz w:val="24"/>
          <w:szCs w:val="24"/>
        </w:rPr>
        <w:t xml:space="preserve">laisse </w:t>
      </w:r>
      <w:r w:rsidRPr="007D173F">
        <w:rPr>
          <w:rFonts w:ascii="Times New Roman" w:hAnsi="Times New Roman" w:eastAsia="Segoe UI Emoji" w:cs="Times New Roman"/>
          <w:sz w:val="24"/>
          <w:szCs w:val="24"/>
        </w:rPr>
        <w:t xml:space="preserve">aux autorités nationales le soin de décider de leur licenciement.</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l'OEPP ne rejette le cas qu'après consultation des autorités nationales de l'Etat membre compétentes pour décider de l'attribution des compétences en matière de poursuites au niveau national (art. 25 para 6). </w:t>
      </w:r>
    </w:p>
    <w:p w:rsidRPr="007D173F" w:rsidR="002F63D5" w:rsidP="007D173F" w:rsidRDefault="002F63D5" w14:paraId="09793BFC" w14:textId="77777777">
      <w:pPr>
        <w:pStyle w:val="Standard"/>
        <w:jc w:val="both"/>
        <w:rPr>
          <w:rFonts w:ascii="Times New Roman" w:hAnsi="Times New Roman" w:eastAsia="Segoe UI Emoji" w:cs="Times New Roman"/>
          <w:sz w:val="24"/>
          <w:szCs w:val="24"/>
        </w:rPr>
      </w:pPr>
    </w:p>
    <w:p>
      <w:pPr>
        <w:pStyle w:val="Standard"/>
        <w:jc w:val="both"/>
        <w:rPr>
          <w:rFonts w:ascii="Times New Roman" w:hAnsi="Times New Roman" w:eastAsia="Segoe UI Emoji" w:cs="Times New Roman"/>
          <w:b/>
          <w:bCs/>
          <w:sz w:val="24"/>
          <w:szCs w:val="24"/>
        </w:rPr>
      </w:pPr>
      <w:r w:rsidRPr="007D173F">
        <w:rPr>
          <w:rFonts w:ascii="Times New Roman" w:hAnsi="Times New Roman" w:eastAsia="Segoe UI Emoji" w:cs="Times New Roman"/>
          <w:b/>
          <w:bCs/>
          <w:sz w:val="24"/>
          <w:szCs w:val="24"/>
        </w:rPr>
        <w:t xml:space="preserve">Q9</w:t>
      </w:r>
      <w:r w:rsidRPr="007D173F">
        <w:rPr>
          <w:rFonts w:ascii="Times New Roman" w:hAnsi="Times New Roman" w:eastAsia="Segoe UI Emoji" w:cs="Times New Roman"/>
          <w:b/>
          <w:bCs/>
          <w:sz w:val="24"/>
          <w:szCs w:val="24"/>
        </w:rPr>
        <w:t xml:space="preserve">. </w:t>
      </w:r>
      <w:r w:rsidRPr="007D173F" w:rsidR="000E4DE3">
        <w:rPr>
          <w:rFonts w:ascii="Times New Roman" w:hAnsi="Times New Roman" w:eastAsia="Segoe UI Emoji" w:cs="Times New Roman"/>
          <w:b/>
          <w:bCs/>
          <w:sz w:val="24"/>
          <w:szCs w:val="24"/>
        </w:rPr>
        <w:t xml:space="preserve">Lorsqu'une affaire a été rejetée :</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a) </w:t>
      </w:r>
      <w:r w:rsidRPr="007D173F">
        <w:rPr>
          <w:rFonts w:ascii="Times New Roman" w:hAnsi="Times New Roman" w:eastAsia="Segoe UI Emoji" w:cs="Times New Roman"/>
          <w:sz w:val="24"/>
          <w:szCs w:val="24"/>
        </w:rPr>
        <w:t xml:space="preserve">l'OEPP n'a plus l'obligation d'informer aucun organisme européen ou national</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b) </w:t>
      </w:r>
      <w:r w:rsidRPr="007D173F">
        <w:rPr>
          <w:rFonts w:ascii="Times New Roman" w:hAnsi="Times New Roman" w:eastAsia="Segoe UI Emoji" w:cs="Times New Roman"/>
          <w:sz w:val="24"/>
          <w:szCs w:val="24"/>
        </w:rPr>
        <w:t xml:space="preserve">l'OEPP notifie officiellement les autorités nationales compétentes, les organes de l'UE concernés et, le cas échéant, le suspect et la victime, et peut transmettre le cas à l'OLAF pour les questions administratives.</w:t>
      </w:r>
    </w:p>
    <w:p>
      <w:pPr>
        <w:pStyle w:val="Standard"/>
        <w:ind w:start="708"/>
        <w:jc w:val="both"/>
        <w:rPr>
          <w:rFonts w:ascii="Times New Roman" w:hAnsi="Times New Roman" w:eastAsia="Segoe UI Emoji" w:cs="Times New Roman"/>
          <w:sz w:val="24"/>
          <w:szCs w:val="24"/>
        </w:rPr>
      </w:pPr>
      <w:r w:rsidRPr="007D173F">
        <w:rPr>
          <w:rFonts w:ascii="Times New Roman" w:hAnsi="Times New Roman" w:eastAsia="Segoe UI Emoji" w:cs="Times New Roman"/>
          <w:i/>
          <w:iCs/>
          <w:sz w:val="24"/>
          <w:szCs w:val="24"/>
        </w:rPr>
        <w:t xml:space="preserve">c) </w:t>
      </w:r>
      <w:r w:rsidRPr="007D173F">
        <w:rPr>
          <w:rFonts w:ascii="Times New Roman" w:hAnsi="Times New Roman" w:eastAsia="Segoe UI Emoji" w:cs="Times New Roman"/>
          <w:sz w:val="24"/>
          <w:szCs w:val="24"/>
        </w:rPr>
        <w:t xml:space="preserve">l'OEPP transmet toujours le cas à l'OLAF pour le suivi administratif.</w:t>
      </w:r>
    </w:p>
    <w:p w:rsidRPr="007D173F" w:rsidR="002F63D5" w:rsidP="007D173F" w:rsidRDefault="002F63D5" w14:paraId="4E5A5FC1" w14:textId="77777777">
      <w:pPr>
        <w:pStyle w:val="Standard"/>
        <w:jc w:val="both"/>
        <w:rPr>
          <w:rFonts w:ascii="Times New Roman" w:hAnsi="Times New Roman" w:eastAsia="Segoe UI Emoji" w:cs="Times New Roman"/>
        </w:rPr>
      </w:pPr>
    </w:p>
    <w:p w:rsidRPr="007D173F" w:rsidR="002F63D5" w:rsidP="007D173F" w:rsidRDefault="002F63D5" w14:paraId="7C185024" w14:textId="77777777">
      <w:pPr>
        <w:pStyle w:val="Standard"/>
        <w:jc w:val="both"/>
        <w:rPr>
          <w:rFonts w:ascii="Times New Roman" w:hAnsi="Times New Roman" w:eastAsia="Segoe UI Emoji" w:cs="Times New Roman"/>
        </w:rPr>
      </w:pPr>
    </w:p>
    <w:p w:rsidRPr="007D173F" w:rsidR="002F63D5" w:rsidP="007D173F" w:rsidRDefault="002F63D5" w14:paraId="4BC77DE6" w14:textId="77777777">
      <w:pPr>
        <w:pStyle w:val="Standard"/>
        <w:jc w:val="both"/>
        <w:rPr>
          <w:rFonts w:ascii="Times New Roman" w:hAnsi="Times New Roman" w:eastAsia="Segoe UI Emoji" w:cs="Times New Roman"/>
        </w:rPr>
      </w:pPr>
    </w:p>
    <w:p w:rsidRPr="007D173F" w:rsidR="002F63D5" w:rsidP="007D173F" w:rsidRDefault="002F63D5" w14:paraId="3F35AE1B" w14:textId="77777777">
      <w:pPr>
        <w:pStyle w:val="Standard"/>
        <w:jc w:val="both"/>
        <w:rPr>
          <w:rFonts w:ascii="Times New Roman" w:hAnsi="Times New Roman" w:eastAsia="Segoe UI Emoji" w:cs="Times New Roman"/>
        </w:rPr>
      </w:pPr>
    </w:p>
    <w:p w:rsidRPr="007D173F" w:rsidR="002F63D5" w:rsidP="007D173F" w:rsidRDefault="002F63D5" w14:paraId="09651B94" w14:textId="77777777">
      <w:pPr>
        <w:pStyle w:val="Standard"/>
        <w:jc w:val="both"/>
        <w:rPr>
          <w:rFonts w:ascii="Times New Roman" w:hAnsi="Times New Roman" w:eastAsia="Segoe UI Emoji" w:cs="Times New Roman"/>
        </w:rPr>
      </w:pPr>
    </w:p>
    <w:p w:rsidRPr="007D173F" w:rsidR="002F63D5" w:rsidP="007D173F" w:rsidRDefault="002F63D5" w14:paraId="06DFA11C" w14:textId="77777777">
      <w:pPr>
        <w:pStyle w:val="Standard"/>
        <w:jc w:val="both"/>
        <w:rPr>
          <w:rFonts w:ascii="Times New Roman" w:hAnsi="Times New Roman" w:eastAsia="Segoe UI Emoji" w:cs="Times New Roman"/>
        </w:rPr>
      </w:pPr>
    </w:p>
    <w:sectPr w:rsidRPr="007D173F" w:rsidR="002F63D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D31" w:rsidRDefault="00FE7D31" w14:paraId="566F4D3B" w14:textId="77777777">
      <w:pPr>
        <w:spacing w:after="0" w:line="240" w:lineRule="auto"/>
      </w:pPr>
      <w:r>
        <w:separator/>
      </w:r>
    </w:p>
  </w:endnote>
  <w:endnote w:type="continuationSeparator" w:id="0">
    <w:p w:rsidR="00FE7D31" w:rsidRDefault="00FE7D31" w14:paraId="292CF2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D01" w:rsidRDefault="00530D01" w14:paraId="0D37E02B" w14:textId="77777777">
    <w:pPr>
      <w:pStyle w:val="Footer"/>
    </w:pP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51909"/>
      <w:docPartObj>
        <w:docPartGallery w:val="Page Numbers (Bottom of Page)"/>
        <w:docPartUnique/>
      </w:docPartObj>
    </w:sdtPr>
    <w:sdtEndPr/>
    <w:sdtContent>
      <w:p>
        <w:pPr>
          <w:pStyle w:val="Footer"/>
          <w:jc w:val="right"/>
        </w:pPr>
        <w:r>
          <w:fldChar w:fldCharType="begin"/>
        </w:r>
        <w:r>
          <w:instrText>PAGE   \* MERGEFORMAT</w:instrText>
        </w:r>
        <w:r>
          <w:fldChar w:fldCharType="separate"/>
        </w:r>
        <w:r>
          <w:rPr>
            <w:lang w:val="hu-HU"/>
          </w:rPr>
          <w:t xml:space="preserve">2</w:t>
        </w:r>
        <w:r>
          <w:fldChar w:fldCharType="end"/>
        </w:r>
      </w:p>
    </w:sdtContent>
  </w:sdt>
  <w:p w:rsidR="00530D01" w:rsidRDefault="00530D01" w14:paraId="086EB105" w14:textId="77777777">
    <w:pPr>
      <w:pStyle w:val="Footer"/>
    </w:pPr>
  </w:p>
</w:ftr>
</file>

<file path=word/footer3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D01" w:rsidRDefault="00530D01" w14:paraId="3EA3B2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D31" w:rsidRDefault="00FE7D31" w14:paraId="0AA300EE" w14:textId="77777777">
      <w:pPr>
        <w:spacing w:after="0" w:line="240" w:lineRule="auto"/>
      </w:pPr>
      <w:r>
        <w:rPr>
          <w:color w:val="000000"/>
        </w:rPr>
        <w:separator/>
      </w:r>
    </w:p>
  </w:footnote>
  <w:footnote w:type="continuationSeparator" w:id="0">
    <w:p w:rsidR="00FE7D31" w:rsidRDefault="00FE7D31" w14:paraId="5A521472" w14:textId="77777777">
      <w:pPr>
        <w:spacing w:after="0" w:line="240" w:lineRule="auto"/>
      </w:pPr>
      <w:r>
        <w:continuationSeparator/>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D01" w:rsidRDefault="00530D01" w14:paraId="38D552FA" w14:textId="77777777">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D01" w:rsidRDefault="00530D01" w14:paraId="40A20811" w14:textId="77777777">
    <w:pPr>
      <w:pStyle w:val="Header"/>
    </w:pP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D01" w:rsidRDefault="00530D01" w14:paraId="52B4652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D5"/>
    <w:rsid w:val="000101BA"/>
    <w:rsid w:val="000E4DE3"/>
    <w:rsid w:val="002F63D5"/>
    <w:rsid w:val="00530D01"/>
    <w:rsid w:val="006477C9"/>
    <w:rsid w:val="007D173F"/>
    <w:rsid w:val="00A34F81"/>
    <w:rsid w:val="00D07AC2"/>
    <w:rsid w:val="00FE7D3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CA2"/>
  <w15:docId w15:val="{3F8EC283-79EA-4860-85AA-0A746F40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7D173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D173F"/>
    <w:rPr>
      <w:b/>
      <w:bCs/>
    </w:rPr>
  </w:style>
  <w:style w:type="paragraph" w:styleId="Header">
    <w:name w:val="header"/>
    <w:basedOn w:val="Normal"/>
    <w:link w:val="HeaderChar"/>
    <w:uiPriority w:val="99"/>
    <w:unhideWhenUsed/>
    <w:rsid w:val="00530D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D01"/>
  </w:style>
  <w:style w:type="paragraph" w:styleId="Footer">
    <w:name w:val="footer"/>
    <w:basedOn w:val="Normal"/>
    <w:link w:val="FooterChar"/>
    <w:uiPriority w:val="99"/>
    <w:unhideWhenUsed/>
    <w:rsid w:val="00530D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word/footer111.xml" Id="rId8" /><Relationship Type="http://schemas.openxmlformats.org/officeDocument/2006/relationships/theme" Target="/word/theme/theme111.xml" Id="rId13" /><Relationship Type="http://schemas.openxmlformats.org/officeDocument/2006/relationships/webSettings" Target="/word/webSettings.xml" Id="rId3" /><Relationship Type="http://schemas.openxmlformats.org/officeDocument/2006/relationships/header" Target="/word/header21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2.xml" Id="rId6" /><Relationship Type="http://schemas.openxmlformats.org/officeDocument/2006/relationships/footer" Target="/word/footer322.xml" Id="rId11" /><Relationship Type="http://schemas.openxmlformats.org/officeDocument/2006/relationships/endnotes" Target="/word/endnotes.xml" Id="rId5" /><Relationship Type="http://schemas.openxmlformats.org/officeDocument/2006/relationships/header" Target="/word/header333.xml" Id="rId10" /><Relationship Type="http://schemas.openxmlformats.org/officeDocument/2006/relationships/footnotes" Target="/word/footnotes.xml" Id="rId4" /><Relationship Type="http://schemas.openxmlformats.org/officeDocument/2006/relationships/footer" Target="/word/footer233.xml" Id="rId9" /></Relationships>
</file>

<file path=word/theme/theme11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400</ap:Words>
  <ap:Characters>2524</ap:Characters>
  <ap:Application>Microsoft Office Word</ap:Application>
  <ap:DocSecurity>0</ap:DocSecurity>
  <ap:Lines>21</ap:Lines>
  <ap:Paragraphs>5</ap:Paragraphs>
  <ap:ScaleCrop>false</ap:ScaleCrop>
  <ap:Company/>
  <ap:LinksUpToDate>false</ap:LinksUpToDate>
  <ap:CharactersWithSpaces>2919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393488893038</dc:creator>
  <lastModifiedBy>Greenwood Elizabeth</lastModifiedBy>
  <revision>6</revision>
  <dcterms:created xsi:type="dcterms:W3CDTF">2021-02-28T11:34:00.0000000Z</dcterms:created>
  <dcterms:modified xsi:type="dcterms:W3CDTF">2021-05-27T08:22:00.0000000Z</dcterms:modified>
  <keywords>, docId:AEEBBFE256B6194A0564C04710A2C6E5</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